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33EFE" w14:textId="2FEE5A1B" w:rsidR="00E92083" w:rsidRPr="004F0D29" w:rsidRDefault="00E92083" w:rsidP="004F0D29">
      <w:pPr>
        <w:spacing w:before="120" w:after="120" w:line="276" w:lineRule="auto"/>
        <w:jc w:val="center"/>
        <w:rPr>
          <w:rFonts w:ascii="Arial" w:hAnsi="Arial" w:cs="Arial"/>
          <w:b/>
          <w:sz w:val="32"/>
          <w:szCs w:val="24"/>
        </w:rPr>
      </w:pPr>
      <w:r w:rsidRPr="004F0D29">
        <w:rPr>
          <w:rFonts w:ascii="Arial" w:hAnsi="Arial" w:cs="Arial"/>
          <w:b/>
          <w:sz w:val="32"/>
          <w:szCs w:val="24"/>
        </w:rPr>
        <w:t>Women in Cambodia’s Garment Industry:</w:t>
      </w:r>
    </w:p>
    <w:p w14:paraId="6654530A" w14:textId="77777777" w:rsidR="00E92083" w:rsidRPr="004F0D29" w:rsidRDefault="00954E20" w:rsidP="004F0D29">
      <w:pPr>
        <w:spacing w:before="120" w:after="120" w:line="276" w:lineRule="auto"/>
        <w:jc w:val="center"/>
        <w:rPr>
          <w:rFonts w:ascii="Arial" w:hAnsi="Arial" w:cs="Arial"/>
          <w:b/>
          <w:sz w:val="32"/>
          <w:szCs w:val="24"/>
        </w:rPr>
      </w:pPr>
      <w:r w:rsidRPr="004F0D29">
        <w:rPr>
          <w:rFonts w:ascii="Arial" w:hAnsi="Arial" w:cs="Arial"/>
          <w:b/>
          <w:sz w:val="32"/>
          <w:szCs w:val="24"/>
        </w:rPr>
        <w:t>Their work.</w:t>
      </w:r>
      <w:r w:rsidR="00E92083" w:rsidRPr="004F0D29">
        <w:rPr>
          <w:rFonts w:ascii="Arial" w:hAnsi="Arial" w:cs="Arial"/>
          <w:b/>
          <w:sz w:val="32"/>
          <w:szCs w:val="24"/>
        </w:rPr>
        <w:t xml:space="preserve"> </w:t>
      </w:r>
      <w:r w:rsidRPr="004F0D29">
        <w:rPr>
          <w:rFonts w:ascii="Arial" w:hAnsi="Arial" w:cs="Arial"/>
          <w:b/>
          <w:sz w:val="32"/>
          <w:szCs w:val="24"/>
        </w:rPr>
        <w:t>T</w:t>
      </w:r>
      <w:r w:rsidR="00E92083" w:rsidRPr="004F0D29">
        <w:rPr>
          <w:rFonts w:ascii="Arial" w:hAnsi="Arial" w:cs="Arial"/>
          <w:b/>
          <w:sz w:val="32"/>
          <w:szCs w:val="24"/>
        </w:rPr>
        <w:t>heir safety</w:t>
      </w:r>
      <w:r w:rsidRPr="004F0D29">
        <w:rPr>
          <w:rFonts w:ascii="Arial" w:hAnsi="Arial" w:cs="Arial"/>
          <w:b/>
          <w:sz w:val="32"/>
          <w:szCs w:val="24"/>
        </w:rPr>
        <w:t>.</w:t>
      </w:r>
    </w:p>
    <w:p w14:paraId="165BBFA5" w14:textId="77777777" w:rsidR="008B3395" w:rsidRPr="004F0D29" w:rsidRDefault="008B3395" w:rsidP="004F0D29">
      <w:pPr>
        <w:spacing w:before="120" w:after="120" w:line="276" w:lineRule="auto"/>
        <w:rPr>
          <w:rFonts w:ascii="Arial" w:hAnsi="Arial" w:cs="Arial"/>
          <w:b/>
          <w:sz w:val="24"/>
          <w:szCs w:val="24"/>
        </w:rPr>
      </w:pPr>
    </w:p>
    <w:p w14:paraId="1FFFA8E8" w14:textId="529F894A" w:rsidR="009D7798" w:rsidRDefault="009D7798" w:rsidP="00925C6E">
      <w:p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The garment sector in Cambodia employs approximately 600,000 people and up to 85% of workers are women. The majority of workers have moved from rural locations to take jobs in the city. CARE’s research identifies that 97% of participants working in Phnom Penh are internal migrants. A job in the garment sector is potentially an opportunity for economic empowerment. However, dignified work is only possible when human rights and labour rights are respected. Despite their high rate of participation in the garment industry, women are not on equal terms to their male colleagues and are at risk of sexual harassment. Harmful gender norms that perpetuate inequality of women and men in workplaces must be addressed to guarantee women’s full participation at work.</w:t>
      </w:r>
    </w:p>
    <w:p w14:paraId="18D07F12" w14:textId="58B74ADD" w:rsidR="008E15EF" w:rsidRDefault="008E15EF" w:rsidP="00925C6E">
      <w:pPr>
        <w:autoSpaceDE w:val="0"/>
        <w:autoSpaceDN w:val="0"/>
        <w:adjustRightInd w:val="0"/>
        <w:spacing w:before="120" w:after="120" w:line="276" w:lineRule="auto"/>
        <w:jc w:val="both"/>
        <w:rPr>
          <w:rFonts w:ascii="Arial" w:hAnsi="Arial" w:cs="Arial"/>
          <w:sz w:val="24"/>
          <w:szCs w:val="24"/>
        </w:rPr>
      </w:pPr>
    </w:p>
    <w:p w14:paraId="3214796F" w14:textId="0465848E" w:rsidR="004F0D29" w:rsidRDefault="004F0D29" w:rsidP="00925C6E">
      <w:pPr>
        <w:autoSpaceDE w:val="0"/>
        <w:autoSpaceDN w:val="0"/>
        <w:adjustRightInd w:val="0"/>
        <w:spacing w:before="120" w:after="120" w:line="276" w:lineRule="auto"/>
        <w:jc w:val="both"/>
        <w:rPr>
          <w:rFonts w:ascii="Arial" w:hAnsi="Arial" w:cs="Arial"/>
          <w:b/>
          <w:sz w:val="24"/>
          <w:szCs w:val="24"/>
        </w:rPr>
      </w:pPr>
      <w:r w:rsidRPr="00AF5804">
        <w:rPr>
          <w:rFonts w:ascii="Arial" w:hAnsi="Arial" w:cs="Arial"/>
          <w:b/>
          <w:sz w:val="24"/>
          <w:szCs w:val="24"/>
        </w:rPr>
        <w:t>WHO THEY ARE</w:t>
      </w:r>
    </w:p>
    <w:p w14:paraId="459AF907" w14:textId="257FF155" w:rsidR="009D7798" w:rsidRPr="00925C6E" w:rsidRDefault="009D7798" w:rsidP="00925C6E">
      <w:pPr>
        <w:autoSpaceDE w:val="0"/>
        <w:autoSpaceDN w:val="0"/>
        <w:adjustRightInd w:val="0"/>
        <w:spacing w:before="120" w:after="120" w:line="276" w:lineRule="auto"/>
        <w:jc w:val="both"/>
        <w:rPr>
          <w:rFonts w:ascii="Arial" w:hAnsi="Arial" w:cs="Arial"/>
          <w:sz w:val="24"/>
          <w:szCs w:val="24"/>
        </w:rPr>
      </w:pPr>
      <w:r w:rsidRPr="00925C6E">
        <w:rPr>
          <w:rFonts w:ascii="Arial" w:hAnsi="Arial" w:cs="Arial"/>
          <w:sz w:val="24"/>
          <w:szCs w:val="24"/>
        </w:rPr>
        <w:t>Most women working in garment factories are young and migrants, living and working outside their home provinces.</w:t>
      </w:r>
    </w:p>
    <w:p w14:paraId="6EB37A44" w14:textId="5C008697" w:rsidR="004F0D29" w:rsidRDefault="009D7798" w:rsidP="00925C6E">
      <w:pPr>
        <w:pStyle w:val="ListParagraph"/>
        <w:numPr>
          <w:ilvl w:val="0"/>
          <w:numId w:val="20"/>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66% of female garment factory workers are under the age of 30.</w:t>
      </w:r>
    </w:p>
    <w:p w14:paraId="1B383489" w14:textId="5D81BEA4" w:rsidR="009D7798" w:rsidRDefault="009D7798" w:rsidP="00925C6E">
      <w:pPr>
        <w:pStyle w:val="ListParagraph"/>
        <w:numPr>
          <w:ilvl w:val="0"/>
          <w:numId w:val="20"/>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51% are married.</w:t>
      </w:r>
    </w:p>
    <w:p w14:paraId="4485CF8D" w14:textId="45959FFF" w:rsidR="009D7798" w:rsidRDefault="009D7798" w:rsidP="00925C6E">
      <w:pPr>
        <w:pStyle w:val="ListParagraph"/>
        <w:numPr>
          <w:ilvl w:val="0"/>
          <w:numId w:val="20"/>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 xml:space="preserve">64% of all women garment workers in Cambodia are internal migrants. For factories in Phnom Penh, 97% of the female workforce are internal migrants. </w:t>
      </w:r>
    </w:p>
    <w:p w14:paraId="0919B924" w14:textId="51B813F0" w:rsidR="009D7798" w:rsidRPr="00925C6E" w:rsidRDefault="009D7798" w:rsidP="00925C6E">
      <w:pPr>
        <w:autoSpaceDE w:val="0"/>
        <w:autoSpaceDN w:val="0"/>
        <w:adjustRightInd w:val="0"/>
        <w:spacing w:before="120" w:after="120" w:line="276" w:lineRule="auto"/>
        <w:jc w:val="both"/>
        <w:rPr>
          <w:rFonts w:ascii="Arial" w:hAnsi="Arial" w:cs="Arial"/>
          <w:b/>
          <w:sz w:val="24"/>
          <w:szCs w:val="24"/>
        </w:rPr>
      </w:pPr>
    </w:p>
    <w:p w14:paraId="1DE1BB1A" w14:textId="47F7D011" w:rsidR="009D7798" w:rsidRPr="00925C6E" w:rsidRDefault="009D7798" w:rsidP="00925C6E">
      <w:pPr>
        <w:autoSpaceDE w:val="0"/>
        <w:autoSpaceDN w:val="0"/>
        <w:adjustRightInd w:val="0"/>
        <w:spacing w:before="120" w:after="120" w:line="276" w:lineRule="auto"/>
        <w:jc w:val="both"/>
        <w:rPr>
          <w:rFonts w:ascii="Arial" w:hAnsi="Arial" w:cs="Arial"/>
          <w:b/>
          <w:sz w:val="24"/>
          <w:szCs w:val="24"/>
        </w:rPr>
      </w:pPr>
      <w:r w:rsidRPr="00925C6E">
        <w:rPr>
          <w:rFonts w:ascii="Arial" w:hAnsi="Arial" w:cs="Arial"/>
          <w:b/>
          <w:sz w:val="24"/>
          <w:szCs w:val="24"/>
        </w:rPr>
        <w:t>WOMEN’S EXPERIENCE OF WORKPLACE SEXUAL HARASSMENT</w:t>
      </w:r>
    </w:p>
    <w:p w14:paraId="08F5EF20" w14:textId="69A1B9AC" w:rsidR="009D7798" w:rsidRDefault="009D7798" w:rsidP="00925C6E">
      <w:p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Nearly 1 in 3 women experience sexual harassment in their workplaces. Of these women:</w:t>
      </w:r>
    </w:p>
    <w:p w14:paraId="7C5CF251" w14:textId="5EE3005E" w:rsidR="009D7798" w:rsidRDefault="009D7798" w:rsidP="00925C6E">
      <w:pPr>
        <w:pStyle w:val="ListParagraph"/>
        <w:numPr>
          <w:ilvl w:val="0"/>
          <w:numId w:val="21"/>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68.2% were also made feel uncomfortable or unsafe in the workplace.</w:t>
      </w:r>
    </w:p>
    <w:p w14:paraId="45920F15" w14:textId="4FB43BE4" w:rsidR="009D7798" w:rsidRDefault="009D7798" w:rsidP="00925C6E">
      <w:pPr>
        <w:pStyle w:val="ListParagraph"/>
        <w:numPr>
          <w:ilvl w:val="0"/>
          <w:numId w:val="21"/>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32.5% of women were the recipients of unwanted leers, noises or gestures.</w:t>
      </w:r>
    </w:p>
    <w:p w14:paraId="506A6AC0" w14:textId="6F06D5C9" w:rsidR="009D7798" w:rsidRDefault="009D7798" w:rsidP="00925C6E">
      <w:pPr>
        <w:pStyle w:val="ListParagraph"/>
        <w:numPr>
          <w:ilvl w:val="0"/>
          <w:numId w:val="21"/>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Physical harassment, and coercive behaviour by managers or supervisors also occurs.</w:t>
      </w:r>
    </w:p>
    <w:p w14:paraId="744479C6" w14:textId="035ECDCA" w:rsidR="009D7798" w:rsidRDefault="009D7798" w:rsidP="00925C6E">
      <w:pPr>
        <w:pStyle w:val="ListParagraph"/>
        <w:numPr>
          <w:ilvl w:val="0"/>
          <w:numId w:val="21"/>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Women rarely take time off from work due to harassment because they cannot afford the lost pay.</w:t>
      </w:r>
    </w:p>
    <w:p w14:paraId="67097048" w14:textId="7B01BF3E" w:rsidR="009D7798" w:rsidRPr="00925C6E" w:rsidRDefault="009D7798" w:rsidP="00925C6E">
      <w:pPr>
        <w:autoSpaceDE w:val="0"/>
        <w:autoSpaceDN w:val="0"/>
        <w:adjustRightInd w:val="0"/>
        <w:spacing w:before="120" w:after="120" w:line="276" w:lineRule="auto"/>
        <w:jc w:val="both"/>
        <w:rPr>
          <w:rFonts w:ascii="Arial" w:hAnsi="Arial" w:cs="Arial"/>
          <w:b/>
          <w:sz w:val="24"/>
          <w:szCs w:val="24"/>
        </w:rPr>
      </w:pPr>
    </w:p>
    <w:p w14:paraId="0D1296A7" w14:textId="74175AA3" w:rsidR="009D7798" w:rsidRPr="00925C6E" w:rsidRDefault="009D7798" w:rsidP="00925C6E">
      <w:pPr>
        <w:autoSpaceDE w:val="0"/>
        <w:autoSpaceDN w:val="0"/>
        <w:adjustRightInd w:val="0"/>
        <w:spacing w:before="120" w:after="120" w:line="276" w:lineRule="auto"/>
        <w:jc w:val="both"/>
        <w:rPr>
          <w:rFonts w:ascii="Arial" w:hAnsi="Arial" w:cs="Arial"/>
          <w:b/>
          <w:sz w:val="24"/>
          <w:szCs w:val="24"/>
        </w:rPr>
      </w:pPr>
      <w:r w:rsidRPr="00925C6E">
        <w:rPr>
          <w:rFonts w:ascii="Arial" w:hAnsi="Arial" w:cs="Arial"/>
          <w:b/>
          <w:sz w:val="24"/>
          <w:szCs w:val="24"/>
        </w:rPr>
        <w:t>WOMEN’S SAFETY IN THE COMMUNITY</w:t>
      </w:r>
    </w:p>
    <w:p w14:paraId="3EFD244A" w14:textId="13601791" w:rsidR="009D7798" w:rsidRDefault="009D7798" w:rsidP="00925C6E">
      <w:p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Women cope with the risk of sexual harassment in the community through self-imposed restrictions on free movement. This limits their work and leisure options</w:t>
      </w:r>
    </w:p>
    <w:p w14:paraId="6874BFEF" w14:textId="618F03C5" w:rsidR="009D7798" w:rsidRDefault="009D7798" w:rsidP="00925C6E">
      <w:pPr>
        <w:pStyle w:val="ListParagraph"/>
        <w:numPr>
          <w:ilvl w:val="0"/>
          <w:numId w:val="22"/>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16.5% of women experience sexual harassment outside the factory.</w:t>
      </w:r>
    </w:p>
    <w:p w14:paraId="46909713" w14:textId="28071F8A" w:rsidR="009D7798" w:rsidRDefault="009D7798" w:rsidP="00925C6E">
      <w:pPr>
        <w:pStyle w:val="ListParagraph"/>
        <w:numPr>
          <w:ilvl w:val="0"/>
          <w:numId w:val="22"/>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lastRenderedPageBreak/>
        <w:t>Women employ multiple coping strategies to protect themselves, but these strategies will not eliminate sexual harassment, as they address only the immediate need for safety.</w:t>
      </w:r>
    </w:p>
    <w:p w14:paraId="3451AC54" w14:textId="7837547C" w:rsidR="009D7798" w:rsidRDefault="009D7798" w:rsidP="00925C6E">
      <w:pPr>
        <w:autoSpaceDE w:val="0"/>
        <w:autoSpaceDN w:val="0"/>
        <w:adjustRightInd w:val="0"/>
        <w:spacing w:before="120" w:after="120" w:line="276" w:lineRule="auto"/>
        <w:jc w:val="both"/>
        <w:rPr>
          <w:rFonts w:ascii="Arial" w:hAnsi="Arial" w:cs="Arial"/>
          <w:sz w:val="24"/>
          <w:szCs w:val="24"/>
        </w:rPr>
      </w:pPr>
    </w:p>
    <w:p w14:paraId="7DB10F94" w14:textId="427047B0" w:rsidR="009D7798" w:rsidRPr="00925C6E" w:rsidRDefault="009D7798" w:rsidP="00925C6E">
      <w:pPr>
        <w:autoSpaceDE w:val="0"/>
        <w:autoSpaceDN w:val="0"/>
        <w:adjustRightInd w:val="0"/>
        <w:spacing w:before="120" w:after="120" w:line="276" w:lineRule="auto"/>
        <w:jc w:val="both"/>
        <w:rPr>
          <w:rFonts w:ascii="Arial" w:hAnsi="Arial" w:cs="Arial"/>
          <w:b/>
          <w:sz w:val="24"/>
          <w:szCs w:val="24"/>
        </w:rPr>
      </w:pPr>
      <w:r w:rsidRPr="00925C6E">
        <w:rPr>
          <w:rFonts w:ascii="Arial" w:hAnsi="Arial" w:cs="Arial"/>
          <w:b/>
          <w:sz w:val="24"/>
          <w:szCs w:val="24"/>
        </w:rPr>
        <w:t>WOMEN’S LIVING CONDITIONS</w:t>
      </w:r>
    </w:p>
    <w:p w14:paraId="687B05C0" w14:textId="71B2BFC6" w:rsidR="009D7798" w:rsidRDefault="009D7798" w:rsidP="00925C6E">
      <w:p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When women have the option, they prioritise safety in living conditions.</w:t>
      </w:r>
    </w:p>
    <w:p w14:paraId="717408AF" w14:textId="129CE00B" w:rsidR="009D7798" w:rsidRDefault="009D7798" w:rsidP="00925C6E">
      <w:pPr>
        <w:pStyle w:val="ListParagraph"/>
        <w:numPr>
          <w:ilvl w:val="0"/>
          <w:numId w:val="23"/>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Workers who have experienced harassment overwhelmingly turn to those factories deemed ‘safer’, when changing factories.</w:t>
      </w:r>
    </w:p>
    <w:p w14:paraId="274BC7EF" w14:textId="3C27AA1F" w:rsidR="009D7798" w:rsidRDefault="009D7798" w:rsidP="00925C6E">
      <w:pPr>
        <w:pStyle w:val="ListParagraph"/>
        <w:numPr>
          <w:ilvl w:val="0"/>
          <w:numId w:val="23"/>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67% of women do not participate in leisure or social activities due to risk to their safety.</w:t>
      </w:r>
    </w:p>
    <w:p w14:paraId="58B62F57" w14:textId="44190974" w:rsidR="009D7798" w:rsidRDefault="009D7798" w:rsidP="00925C6E">
      <w:pPr>
        <w:autoSpaceDE w:val="0"/>
        <w:autoSpaceDN w:val="0"/>
        <w:adjustRightInd w:val="0"/>
        <w:spacing w:before="120" w:after="120" w:line="276" w:lineRule="auto"/>
        <w:jc w:val="both"/>
        <w:rPr>
          <w:rFonts w:ascii="Arial" w:hAnsi="Arial" w:cs="Arial"/>
          <w:sz w:val="24"/>
          <w:szCs w:val="24"/>
        </w:rPr>
      </w:pPr>
    </w:p>
    <w:p w14:paraId="0F8C84A8" w14:textId="7366DDF0" w:rsidR="00925C6E" w:rsidRPr="00925C6E" w:rsidRDefault="00925C6E" w:rsidP="00925C6E">
      <w:pPr>
        <w:autoSpaceDE w:val="0"/>
        <w:autoSpaceDN w:val="0"/>
        <w:adjustRightInd w:val="0"/>
        <w:spacing w:before="120" w:after="120" w:line="276" w:lineRule="auto"/>
        <w:jc w:val="both"/>
        <w:rPr>
          <w:rFonts w:ascii="Arial" w:hAnsi="Arial" w:cs="Arial"/>
          <w:b/>
          <w:sz w:val="24"/>
          <w:szCs w:val="24"/>
        </w:rPr>
      </w:pPr>
      <w:r w:rsidRPr="00925C6E">
        <w:rPr>
          <w:rFonts w:ascii="Arial" w:hAnsi="Arial" w:cs="Arial"/>
          <w:b/>
          <w:sz w:val="24"/>
          <w:szCs w:val="24"/>
        </w:rPr>
        <w:t>WOMEN’S PRIORITIES</w:t>
      </w:r>
    </w:p>
    <w:p w14:paraId="4C5D24D1" w14:textId="49A8CF37" w:rsidR="00925C6E" w:rsidRDefault="00925C6E" w:rsidP="00925C6E">
      <w:p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Women workers send home an average of 40% of their salary.</w:t>
      </w:r>
    </w:p>
    <w:p w14:paraId="6C225010" w14:textId="3E382CB4" w:rsidR="00925C6E" w:rsidRDefault="00925C6E" w:rsidP="00925C6E">
      <w:pPr>
        <w:pStyle w:val="ListParagraph"/>
        <w:numPr>
          <w:ilvl w:val="0"/>
          <w:numId w:val="24"/>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Deprivation and self-sacrifice are the norm for many migrant workers, who prioritise their families’ wellbeing over basic food and healthcare.</w:t>
      </w:r>
    </w:p>
    <w:p w14:paraId="0C17DB85" w14:textId="0E6E3866" w:rsidR="00925C6E" w:rsidRDefault="00925C6E" w:rsidP="00925C6E">
      <w:pPr>
        <w:pStyle w:val="ListParagraph"/>
        <w:numPr>
          <w:ilvl w:val="0"/>
          <w:numId w:val="24"/>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Despite high rates of sexual harassment, absenteeism rates are low because taking time off would impact the earnings the worker can send to her family.</w:t>
      </w:r>
    </w:p>
    <w:p w14:paraId="35764CF7" w14:textId="7D9D1DC5" w:rsidR="00925C6E" w:rsidRDefault="00925C6E" w:rsidP="00925C6E">
      <w:pPr>
        <w:autoSpaceDE w:val="0"/>
        <w:autoSpaceDN w:val="0"/>
        <w:adjustRightInd w:val="0"/>
        <w:spacing w:before="120" w:after="120" w:line="276" w:lineRule="auto"/>
        <w:jc w:val="both"/>
        <w:rPr>
          <w:rFonts w:ascii="Arial" w:hAnsi="Arial" w:cs="Arial"/>
          <w:sz w:val="24"/>
          <w:szCs w:val="24"/>
        </w:rPr>
      </w:pPr>
    </w:p>
    <w:p w14:paraId="0F8C08C7" w14:textId="6EA45B5C" w:rsidR="00925C6E" w:rsidRPr="00925C6E" w:rsidRDefault="00925C6E" w:rsidP="00925C6E">
      <w:pPr>
        <w:autoSpaceDE w:val="0"/>
        <w:autoSpaceDN w:val="0"/>
        <w:adjustRightInd w:val="0"/>
        <w:spacing w:before="120" w:after="120" w:line="276" w:lineRule="auto"/>
        <w:jc w:val="both"/>
        <w:rPr>
          <w:rFonts w:ascii="Arial" w:hAnsi="Arial" w:cs="Arial"/>
          <w:b/>
          <w:sz w:val="24"/>
          <w:szCs w:val="24"/>
        </w:rPr>
      </w:pPr>
      <w:r w:rsidRPr="00925C6E">
        <w:rPr>
          <w:rFonts w:ascii="Arial" w:hAnsi="Arial" w:cs="Arial"/>
          <w:b/>
          <w:sz w:val="24"/>
          <w:szCs w:val="24"/>
        </w:rPr>
        <w:t>WOMEN’S STATUS AT WORK</w:t>
      </w:r>
    </w:p>
    <w:p w14:paraId="3251C020" w14:textId="65E7A475" w:rsidR="00925C6E" w:rsidRDefault="00925C6E" w:rsidP="00925C6E">
      <w:p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Although women occupy 85% of the garment sector’s total workforce, women are over-represented in lower status and lower skill roles.</w:t>
      </w:r>
    </w:p>
    <w:p w14:paraId="029D046F" w14:textId="301A74B0" w:rsidR="00925C6E" w:rsidRDefault="00925C6E" w:rsidP="00925C6E">
      <w:pPr>
        <w:pStyle w:val="ListParagraph"/>
        <w:numPr>
          <w:ilvl w:val="0"/>
          <w:numId w:val="25"/>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Women hold far fewer management and supervisory roles. Under 4% of the female garment worker population holds a line leader or office staff role.</w:t>
      </w:r>
    </w:p>
    <w:p w14:paraId="01FB5204" w14:textId="2EFB9DB8" w:rsidR="00925C6E" w:rsidRDefault="00925C6E" w:rsidP="00925C6E">
      <w:pPr>
        <w:pStyle w:val="ListParagraph"/>
        <w:numPr>
          <w:ilvl w:val="0"/>
          <w:numId w:val="25"/>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Male workers are more likely than female workers to achieve promotion within the industry because of an intentional preference for female workers for lower skilled jobs.</w:t>
      </w:r>
    </w:p>
    <w:p w14:paraId="05DE6534" w14:textId="6359175E" w:rsidR="00925C6E" w:rsidRDefault="00925C6E" w:rsidP="00925C6E">
      <w:pPr>
        <w:autoSpaceDE w:val="0"/>
        <w:autoSpaceDN w:val="0"/>
        <w:adjustRightInd w:val="0"/>
        <w:spacing w:before="120" w:after="120" w:line="276" w:lineRule="auto"/>
        <w:jc w:val="both"/>
        <w:rPr>
          <w:rFonts w:ascii="Arial" w:hAnsi="Arial" w:cs="Arial"/>
          <w:sz w:val="24"/>
          <w:szCs w:val="24"/>
        </w:rPr>
      </w:pPr>
    </w:p>
    <w:p w14:paraId="6BE24C09" w14:textId="29A15615" w:rsidR="00925C6E" w:rsidRPr="00925C6E" w:rsidRDefault="00925C6E" w:rsidP="00925C6E">
      <w:pPr>
        <w:autoSpaceDE w:val="0"/>
        <w:autoSpaceDN w:val="0"/>
        <w:adjustRightInd w:val="0"/>
        <w:spacing w:before="120" w:after="120" w:line="276" w:lineRule="auto"/>
        <w:jc w:val="both"/>
        <w:rPr>
          <w:rFonts w:ascii="Arial" w:hAnsi="Arial" w:cs="Arial"/>
          <w:b/>
          <w:sz w:val="24"/>
          <w:szCs w:val="24"/>
        </w:rPr>
      </w:pPr>
      <w:r w:rsidRPr="00925C6E">
        <w:rPr>
          <w:rFonts w:ascii="Arial" w:hAnsi="Arial" w:cs="Arial"/>
          <w:b/>
          <w:sz w:val="24"/>
          <w:szCs w:val="24"/>
        </w:rPr>
        <w:t>WOMEN’S PAY</w:t>
      </w:r>
    </w:p>
    <w:p w14:paraId="2D702A36" w14:textId="4988CB99" w:rsidR="00925C6E" w:rsidRDefault="00925C6E" w:rsidP="00925C6E">
      <w:p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Women workers earn less on average than their male colleagues.</w:t>
      </w:r>
    </w:p>
    <w:p w14:paraId="1FF77843" w14:textId="510CA56C" w:rsidR="00925C6E" w:rsidRDefault="00925C6E" w:rsidP="00925C6E">
      <w:pPr>
        <w:pStyle w:val="ListParagraph"/>
        <w:numPr>
          <w:ilvl w:val="0"/>
          <w:numId w:val="26"/>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The average basic salary (in 2015) of female workers in the industry was USD 145 per month, compared to USD 161 for male workers.</w:t>
      </w:r>
    </w:p>
    <w:p w14:paraId="6D32F8B9" w14:textId="50105303" w:rsidR="00925C6E" w:rsidRPr="00925C6E" w:rsidRDefault="00925C6E" w:rsidP="00925C6E">
      <w:pPr>
        <w:pStyle w:val="ListParagraph"/>
        <w:numPr>
          <w:ilvl w:val="0"/>
          <w:numId w:val="26"/>
        </w:numPr>
        <w:autoSpaceDE w:val="0"/>
        <w:autoSpaceDN w:val="0"/>
        <w:adjustRightInd w:val="0"/>
        <w:spacing w:before="120" w:after="120" w:line="276" w:lineRule="auto"/>
        <w:jc w:val="both"/>
        <w:rPr>
          <w:rFonts w:ascii="Arial" w:hAnsi="Arial" w:cs="Arial"/>
          <w:sz w:val="24"/>
          <w:szCs w:val="24"/>
        </w:rPr>
      </w:pPr>
      <w:r>
        <w:rPr>
          <w:rFonts w:ascii="Arial" w:hAnsi="Arial" w:cs="Arial"/>
          <w:sz w:val="24"/>
          <w:szCs w:val="24"/>
        </w:rPr>
        <w:t>After overtime bonuses and other benefits were factored in, women’s average wages were USD 209 per month, while male workers earned an average of USD 228 per month.</w:t>
      </w:r>
    </w:p>
    <w:p w14:paraId="38083542" w14:textId="77777777" w:rsidR="009D7798" w:rsidRDefault="009D7798" w:rsidP="00925C6E">
      <w:pPr>
        <w:autoSpaceDE w:val="0"/>
        <w:autoSpaceDN w:val="0"/>
        <w:adjustRightInd w:val="0"/>
        <w:spacing w:before="120" w:after="120" w:line="276" w:lineRule="auto"/>
        <w:jc w:val="both"/>
        <w:rPr>
          <w:rFonts w:ascii="Arial" w:hAnsi="Arial" w:cs="Arial"/>
          <w:b/>
          <w:sz w:val="24"/>
          <w:szCs w:val="24"/>
        </w:rPr>
      </w:pPr>
    </w:p>
    <w:p w14:paraId="3006CB59" w14:textId="77777777" w:rsidR="00AF5804" w:rsidRDefault="00AF5804" w:rsidP="00925C6E">
      <w:pPr>
        <w:autoSpaceDE w:val="0"/>
        <w:autoSpaceDN w:val="0"/>
        <w:adjustRightInd w:val="0"/>
        <w:spacing w:before="120" w:after="120" w:line="276" w:lineRule="auto"/>
        <w:jc w:val="both"/>
        <w:rPr>
          <w:rFonts w:ascii="Arial" w:hAnsi="Arial" w:cs="Arial"/>
          <w:sz w:val="24"/>
          <w:szCs w:val="24"/>
        </w:rPr>
      </w:pPr>
    </w:p>
    <w:p w14:paraId="387359E2" w14:textId="073EE7B2" w:rsidR="00AF5804" w:rsidRDefault="00E92083" w:rsidP="00925C6E">
      <w:pPr>
        <w:autoSpaceDE w:val="0"/>
        <w:autoSpaceDN w:val="0"/>
        <w:adjustRightInd w:val="0"/>
        <w:spacing w:before="120" w:after="120" w:line="276" w:lineRule="auto"/>
        <w:jc w:val="both"/>
        <w:rPr>
          <w:rFonts w:ascii="Arial" w:hAnsi="Arial" w:cs="Arial"/>
          <w:sz w:val="24"/>
          <w:szCs w:val="24"/>
        </w:rPr>
      </w:pPr>
      <w:r w:rsidRPr="004F0D29">
        <w:rPr>
          <w:rFonts w:ascii="Arial" w:hAnsi="Arial" w:cs="Arial"/>
          <w:sz w:val="24"/>
          <w:szCs w:val="24"/>
        </w:rPr>
        <w:lastRenderedPageBreak/>
        <w:t>This information is taken fro</w:t>
      </w:r>
      <w:r w:rsidR="009F0E50" w:rsidRPr="004F0D29">
        <w:rPr>
          <w:rFonts w:ascii="Arial" w:hAnsi="Arial" w:cs="Arial"/>
          <w:sz w:val="24"/>
          <w:szCs w:val="24"/>
        </w:rPr>
        <w:t xml:space="preserve">m CARE’s study, </w:t>
      </w:r>
      <w:r w:rsidR="009F0E50" w:rsidRPr="004F0D29">
        <w:rPr>
          <w:rFonts w:ascii="Arial" w:hAnsi="Arial" w:cs="Arial"/>
          <w:i/>
          <w:sz w:val="24"/>
          <w:szCs w:val="24"/>
        </w:rPr>
        <w:t>‘I know I cannot quit.’ The prevalence and productivity cost of sexual harassment to the Cambodian garment industry.</w:t>
      </w:r>
      <w:r w:rsidR="00AF5804">
        <w:rPr>
          <w:rFonts w:ascii="Arial" w:hAnsi="Arial" w:cs="Arial"/>
          <w:sz w:val="24"/>
          <w:szCs w:val="24"/>
        </w:rPr>
        <w:t xml:space="preserve"> </w:t>
      </w:r>
      <w:r w:rsidR="009F0E50" w:rsidRPr="004F0D29">
        <w:rPr>
          <w:rFonts w:ascii="Arial" w:hAnsi="Arial" w:cs="Arial"/>
          <w:sz w:val="24"/>
          <w:szCs w:val="24"/>
        </w:rPr>
        <w:t>The study was conducted by CARE and a research team in cooperation with the Garment Manufacturers Association of Cambodia and funded through the Aus</w:t>
      </w:r>
      <w:r w:rsidR="00925C6E">
        <w:rPr>
          <w:rFonts w:ascii="Arial" w:hAnsi="Arial" w:cs="Arial"/>
          <w:sz w:val="24"/>
          <w:szCs w:val="24"/>
        </w:rPr>
        <w:t xml:space="preserve">tralian NGO Cooperation Program, </w:t>
      </w:r>
      <w:r w:rsidR="009F0E50" w:rsidRPr="004F0D29">
        <w:rPr>
          <w:rFonts w:ascii="Arial" w:hAnsi="Arial" w:cs="Arial"/>
          <w:sz w:val="24"/>
          <w:szCs w:val="24"/>
        </w:rPr>
        <w:t xml:space="preserve">from the Australian Department of Foreign Affairs and Trade </w:t>
      </w:r>
      <w:r w:rsidR="00AF5804">
        <w:rPr>
          <w:rFonts w:ascii="Arial" w:hAnsi="Arial" w:cs="Arial"/>
          <w:sz w:val="24"/>
          <w:szCs w:val="24"/>
        </w:rPr>
        <w:t xml:space="preserve">and the Australian public. </w:t>
      </w:r>
      <w:r w:rsidR="009F0E50" w:rsidRPr="004F0D29">
        <w:rPr>
          <w:rFonts w:ascii="Arial" w:hAnsi="Arial" w:cs="Arial"/>
          <w:sz w:val="24"/>
          <w:szCs w:val="24"/>
        </w:rPr>
        <w:t>The research was conducted from December 2015 to March 2017, with data collection from February 2016 to May 2016.</w:t>
      </w:r>
      <w:r w:rsidR="00925C6E">
        <w:rPr>
          <w:rFonts w:ascii="Arial" w:hAnsi="Arial" w:cs="Arial"/>
          <w:sz w:val="24"/>
          <w:szCs w:val="24"/>
        </w:rPr>
        <w:t xml:space="preserve"> </w:t>
      </w:r>
    </w:p>
    <w:p w14:paraId="56808A18" w14:textId="77777777" w:rsidR="00925C6E" w:rsidRDefault="00925C6E" w:rsidP="00925C6E">
      <w:pPr>
        <w:spacing w:before="120" w:after="120" w:line="276" w:lineRule="auto"/>
        <w:jc w:val="both"/>
        <w:rPr>
          <w:rFonts w:ascii="Arial" w:hAnsi="Arial" w:cs="Arial"/>
          <w:sz w:val="24"/>
          <w:szCs w:val="24"/>
        </w:rPr>
      </w:pPr>
    </w:p>
    <w:p w14:paraId="3DA0B2EF" w14:textId="05CAF75E" w:rsidR="00E92083" w:rsidRPr="004F0D29" w:rsidRDefault="00E92083" w:rsidP="00925C6E">
      <w:pPr>
        <w:spacing w:before="120" w:after="120" w:line="276" w:lineRule="auto"/>
        <w:jc w:val="both"/>
        <w:rPr>
          <w:rFonts w:ascii="Arial" w:hAnsi="Arial" w:cs="Arial"/>
          <w:sz w:val="24"/>
          <w:szCs w:val="24"/>
        </w:rPr>
      </w:pPr>
      <w:r w:rsidRPr="004F0D29">
        <w:rPr>
          <w:rFonts w:ascii="Arial" w:hAnsi="Arial" w:cs="Arial"/>
          <w:sz w:val="24"/>
          <w:szCs w:val="24"/>
        </w:rPr>
        <w:t xml:space="preserve">The research: </w:t>
      </w:r>
    </w:p>
    <w:p w14:paraId="58FD4DB2" w14:textId="13B44161" w:rsidR="00E92083" w:rsidRPr="00AF5804" w:rsidRDefault="00AF5804" w:rsidP="00925C6E">
      <w:pPr>
        <w:pStyle w:val="ListParagraph"/>
        <w:numPr>
          <w:ilvl w:val="0"/>
          <w:numId w:val="19"/>
        </w:numPr>
        <w:spacing w:before="120" w:after="120" w:line="276" w:lineRule="auto"/>
        <w:jc w:val="both"/>
        <w:rPr>
          <w:rStyle w:val="A9"/>
          <w:rFonts w:ascii="Arial" w:hAnsi="Arial" w:cs="Arial"/>
          <w:sz w:val="24"/>
          <w:szCs w:val="24"/>
        </w:rPr>
      </w:pPr>
      <w:r>
        <w:rPr>
          <w:rStyle w:val="A9"/>
          <w:rFonts w:ascii="Arial" w:hAnsi="Arial" w:cs="Arial"/>
          <w:sz w:val="24"/>
          <w:szCs w:val="24"/>
        </w:rPr>
        <w:t>I</w:t>
      </w:r>
      <w:r w:rsidR="00E92083" w:rsidRPr="00AF5804">
        <w:rPr>
          <w:rStyle w:val="A9"/>
          <w:rFonts w:ascii="Arial" w:hAnsi="Arial" w:cs="Arial"/>
          <w:sz w:val="24"/>
          <w:szCs w:val="24"/>
        </w:rPr>
        <w:t>nterviewed 1287 workers</w:t>
      </w:r>
      <w:r w:rsidR="009F0E50" w:rsidRPr="00AF5804">
        <w:rPr>
          <w:rStyle w:val="A9"/>
          <w:rFonts w:ascii="Arial" w:hAnsi="Arial" w:cs="Arial"/>
          <w:sz w:val="24"/>
          <w:szCs w:val="24"/>
        </w:rPr>
        <w:t xml:space="preserve"> across 52 factories</w:t>
      </w:r>
      <w:r w:rsidR="00925C6E">
        <w:rPr>
          <w:rStyle w:val="A9"/>
          <w:rFonts w:ascii="Arial" w:hAnsi="Arial" w:cs="Arial"/>
          <w:sz w:val="24"/>
          <w:szCs w:val="24"/>
        </w:rPr>
        <w:t xml:space="preserve">, including </w:t>
      </w:r>
      <w:r w:rsidR="00E92083" w:rsidRPr="00AF5804">
        <w:rPr>
          <w:rStyle w:val="A9"/>
          <w:rFonts w:ascii="Arial" w:hAnsi="Arial" w:cs="Arial"/>
          <w:sz w:val="24"/>
          <w:szCs w:val="24"/>
        </w:rPr>
        <w:t xml:space="preserve">1085 women, 198 men </w:t>
      </w:r>
    </w:p>
    <w:p w14:paraId="089A9277" w14:textId="1434B594" w:rsidR="00E92083" w:rsidRPr="00AF5804" w:rsidRDefault="00AF5804" w:rsidP="00925C6E">
      <w:pPr>
        <w:pStyle w:val="ListParagraph"/>
        <w:numPr>
          <w:ilvl w:val="0"/>
          <w:numId w:val="19"/>
        </w:numPr>
        <w:spacing w:before="120" w:after="120" w:line="276" w:lineRule="auto"/>
        <w:jc w:val="both"/>
        <w:rPr>
          <w:rStyle w:val="A9"/>
          <w:rFonts w:ascii="Arial" w:hAnsi="Arial" w:cs="Arial"/>
          <w:sz w:val="24"/>
          <w:szCs w:val="24"/>
        </w:rPr>
      </w:pPr>
      <w:r>
        <w:rPr>
          <w:rStyle w:val="A9"/>
          <w:rFonts w:ascii="Arial" w:hAnsi="Arial" w:cs="Arial"/>
          <w:sz w:val="24"/>
          <w:szCs w:val="24"/>
        </w:rPr>
        <w:t>I</w:t>
      </w:r>
      <w:r w:rsidR="009032AB" w:rsidRPr="00AF5804">
        <w:rPr>
          <w:rStyle w:val="A9"/>
          <w:rFonts w:ascii="Arial" w:hAnsi="Arial" w:cs="Arial"/>
          <w:sz w:val="24"/>
          <w:szCs w:val="24"/>
        </w:rPr>
        <w:t xml:space="preserve">ncluded </w:t>
      </w:r>
      <w:r w:rsidR="00E92083" w:rsidRPr="00AF5804">
        <w:rPr>
          <w:rStyle w:val="A9"/>
          <w:rFonts w:ascii="Arial" w:hAnsi="Arial" w:cs="Arial"/>
          <w:sz w:val="24"/>
          <w:szCs w:val="24"/>
        </w:rPr>
        <w:t>9 focus groups and 16 in-depth interviews with women workers</w:t>
      </w:r>
    </w:p>
    <w:p w14:paraId="2CF188D1" w14:textId="239694D3" w:rsidR="009F0E50" w:rsidRPr="00AF5804" w:rsidRDefault="00AF5804" w:rsidP="00925C6E">
      <w:pPr>
        <w:pStyle w:val="ListParagraph"/>
        <w:numPr>
          <w:ilvl w:val="0"/>
          <w:numId w:val="19"/>
        </w:numPr>
        <w:spacing w:before="120" w:after="120" w:line="276" w:lineRule="auto"/>
        <w:jc w:val="both"/>
        <w:rPr>
          <w:rStyle w:val="A9"/>
          <w:rFonts w:ascii="Arial" w:hAnsi="Arial" w:cs="Arial"/>
          <w:sz w:val="24"/>
          <w:szCs w:val="24"/>
        </w:rPr>
      </w:pPr>
      <w:r>
        <w:rPr>
          <w:rStyle w:val="A9"/>
          <w:rFonts w:ascii="Arial" w:hAnsi="Arial" w:cs="Arial"/>
          <w:sz w:val="24"/>
          <w:szCs w:val="24"/>
        </w:rPr>
        <w:t>C</w:t>
      </w:r>
      <w:r w:rsidR="009032AB" w:rsidRPr="00AF5804">
        <w:rPr>
          <w:rStyle w:val="A9"/>
          <w:rFonts w:ascii="Arial" w:hAnsi="Arial" w:cs="Arial"/>
          <w:sz w:val="24"/>
          <w:szCs w:val="24"/>
        </w:rPr>
        <w:t xml:space="preserve">onducted </w:t>
      </w:r>
      <w:r w:rsidR="00EF7255" w:rsidRPr="00AF5804">
        <w:rPr>
          <w:rStyle w:val="A9"/>
          <w:rFonts w:ascii="Arial" w:hAnsi="Arial" w:cs="Arial"/>
          <w:sz w:val="24"/>
          <w:szCs w:val="24"/>
        </w:rPr>
        <w:t>four</w:t>
      </w:r>
      <w:r w:rsidR="009F0E50" w:rsidRPr="00AF5804">
        <w:rPr>
          <w:rStyle w:val="A9"/>
          <w:rFonts w:ascii="Arial" w:hAnsi="Arial" w:cs="Arial"/>
          <w:sz w:val="24"/>
          <w:szCs w:val="24"/>
        </w:rPr>
        <w:t xml:space="preserve"> in-depth interviews with male workers </w:t>
      </w:r>
    </w:p>
    <w:p w14:paraId="247C19B4" w14:textId="12A2B563" w:rsidR="00AF5804" w:rsidRPr="00AF5804" w:rsidRDefault="00AF5804" w:rsidP="00925C6E">
      <w:pPr>
        <w:pStyle w:val="ListParagraph"/>
        <w:numPr>
          <w:ilvl w:val="0"/>
          <w:numId w:val="19"/>
        </w:numPr>
        <w:spacing w:before="120" w:after="120" w:line="276" w:lineRule="auto"/>
        <w:jc w:val="both"/>
        <w:rPr>
          <w:rStyle w:val="A9"/>
          <w:rFonts w:ascii="Arial" w:hAnsi="Arial" w:cs="Arial"/>
          <w:sz w:val="24"/>
          <w:szCs w:val="24"/>
        </w:rPr>
      </w:pPr>
      <w:r>
        <w:rPr>
          <w:rStyle w:val="A9"/>
          <w:rFonts w:ascii="Arial" w:hAnsi="Arial" w:cs="Arial"/>
          <w:sz w:val="24"/>
          <w:szCs w:val="24"/>
        </w:rPr>
        <w:t>C</w:t>
      </w:r>
      <w:r w:rsidR="009032AB" w:rsidRPr="00AF5804">
        <w:rPr>
          <w:rStyle w:val="A9"/>
          <w:rFonts w:ascii="Arial" w:hAnsi="Arial" w:cs="Arial"/>
          <w:sz w:val="24"/>
          <w:szCs w:val="24"/>
        </w:rPr>
        <w:t xml:space="preserve">arried out </w:t>
      </w:r>
      <w:r w:rsidR="00EF7255" w:rsidRPr="00AF5804">
        <w:rPr>
          <w:rStyle w:val="A9"/>
          <w:rFonts w:ascii="Arial" w:hAnsi="Arial" w:cs="Arial"/>
          <w:sz w:val="24"/>
          <w:szCs w:val="24"/>
        </w:rPr>
        <w:t>five</w:t>
      </w:r>
      <w:r w:rsidR="009F0E50" w:rsidRPr="00AF5804">
        <w:rPr>
          <w:rStyle w:val="A9"/>
          <w:rFonts w:ascii="Arial" w:hAnsi="Arial" w:cs="Arial"/>
          <w:sz w:val="24"/>
          <w:szCs w:val="24"/>
        </w:rPr>
        <w:t xml:space="preserve"> in-depth interviews with factory line leaders, commune officials, &amp; police officers</w:t>
      </w:r>
    </w:p>
    <w:p w14:paraId="1A8CC46C" w14:textId="40A6774F" w:rsidR="00E92083" w:rsidRPr="00925C6E" w:rsidRDefault="00AF5804" w:rsidP="00925C6E">
      <w:pPr>
        <w:pStyle w:val="ListParagraph"/>
        <w:numPr>
          <w:ilvl w:val="0"/>
          <w:numId w:val="19"/>
        </w:numPr>
        <w:spacing w:before="120" w:after="120" w:line="276" w:lineRule="auto"/>
        <w:jc w:val="both"/>
        <w:rPr>
          <w:rStyle w:val="A9"/>
          <w:rFonts w:ascii="Arial" w:hAnsi="Arial" w:cs="Arial"/>
          <w:color w:val="auto"/>
          <w:sz w:val="24"/>
          <w:szCs w:val="24"/>
        </w:rPr>
      </w:pPr>
      <w:r>
        <w:rPr>
          <w:rStyle w:val="A9"/>
          <w:rFonts w:ascii="Arial" w:hAnsi="Arial" w:cs="Arial"/>
          <w:sz w:val="24"/>
          <w:szCs w:val="24"/>
        </w:rPr>
        <w:t>C</w:t>
      </w:r>
      <w:r w:rsidR="00EF7255" w:rsidRPr="00AF5804">
        <w:rPr>
          <w:rStyle w:val="A9"/>
          <w:rFonts w:ascii="Arial" w:hAnsi="Arial" w:cs="Arial"/>
          <w:sz w:val="24"/>
          <w:szCs w:val="24"/>
        </w:rPr>
        <w:t>ollected q</w:t>
      </w:r>
      <w:r w:rsidR="009F0E50" w:rsidRPr="00AF5804">
        <w:rPr>
          <w:rStyle w:val="A9"/>
          <w:rFonts w:ascii="Arial" w:hAnsi="Arial" w:cs="Arial"/>
          <w:sz w:val="24"/>
          <w:szCs w:val="24"/>
        </w:rPr>
        <w:t xml:space="preserve">ualitative </w:t>
      </w:r>
      <w:r w:rsidR="00EF7255" w:rsidRPr="00AF5804">
        <w:rPr>
          <w:rStyle w:val="A9"/>
          <w:rFonts w:ascii="Arial" w:hAnsi="Arial" w:cs="Arial"/>
          <w:sz w:val="24"/>
          <w:szCs w:val="24"/>
        </w:rPr>
        <w:t xml:space="preserve">data </w:t>
      </w:r>
      <w:r w:rsidR="009F0E50" w:rsidRPr="00AF5804">
        <w:rPr>
          <w:rStyle w:val="A9"/>
          <w:rFonts w:ascii="Arial" w:hAnsi="Arial" w:cs="Arial"/>
          <w:sz w:val="24"/>
          <w:szCs w:val="24"/>
        </w:rPr>
        <w:t xml:space="preserve">across </w:t>
      </w:r>
      <w:r w:rsidR="00EF7255" w:rsidRPr="00AF5804">
        <w:rPr>
          <w:rStyle w:val="A9"/>
          <w:rFonts w:ascii="Arial" w:hAnsi="Arial" w:cs="Arial"/>
          <w:sz w:val="24"/>
          <w:szCs w:val="24"/>
        </w:rPr>
        <w:t>seven</w:t>
      </w:r>
      <w:r w:rsidR="009F0E50" w:rsidRPr="00AF5804">
        <w:rPr>
          <w:rStyle w:val="A9"/>
          <w:rFonts w:ascii="Arial" w:hAnsi="Arial" w:cs="Arial"/>
          <w:sz w:val="24"/>
          <w:szCs w:val="24"/>
        </w:rPr>
        <w:t xml:space="preserve"> sites in in Phnom Penh</w:t>
      </w:r>
    </w:p>
    <w:p w14:paraId="4D3BE5FE" w14:textId="134C881C" w:rsidR="00925C6E" w:rsidRDefault="00925C6E" w:rsidP="00925C6E">
      <w:pPr>
        <w:spacing w:before="120" w:after="120" w:line="276" w:lineRule="auto"/>
        <w:jc w:val="both"/>
        <w:rPr>
          <w:rFonts w:ascii="Arial" w:hAnsi="Arial" w:cs="Arial"/>
          <w:sz w:val="24"/>
          <w:szCs w:val="24"/>
        </w:rPr>
      </w:pPr>
    </w:p>
    <w:p w14:paraId="7A0E4541" w14:textId="3F3D55F2" w:rsidR="00925C6E" w:rsidRDefault="00925C6E" w:rsidP="00925C6E">
      <w:pPr>
        <w:spacing w:before="120" w:after="120" w:line="276" w:lineRule="auto"/>
        <w:jc w:val="both"/>
        <w:rPr>
          <w:rFonts w:ascii="Arial" w:hAnsi="Arial" w:cs="Arial"/>
          <w:sz w:val="24"/>
          <w:szCs w:val="24"/>
        </w:rPr>
      </w:pPr>
      <w:r>
        <w:rPr>
          <w:rFonts w:ascii="Arial" w:hAnsi="Arial" w:cs="Arial"/>
          <w:sz w:val="24"/>
          <w:szCs w:val="24"/>
        </w:rPr>
        <w:t xml:space="preserve">The technical report is available at: </w:t>
      </w:r>
      <w:hyperlink r:id="rId8" w:history="1">
        <w:r>
          <w:rPr>
            <w:rStyle w:val="Hyperlink"/>
            <w:rFonts w:ascii="Arial" w:hAnsi="Arial" w:cs="Arial"/>
            <w:sz w:val="24"/>
            <w:szCs w:val="24"/>
          </w:rPr>
          <w:t>CARE Cambodia website</w:t>
        </w:r>
      </w:hyperlink>
      <w:r>
        <w:rPr>
          <w:rFonts w:ascii="Arial" w:hAnsi="Arial" w:cs="Arial"/>
          <w:sz w:val="24"/>
          <w:szCs w:val="24"/>
        </w:rPr>
        <w:t xml:space="preserve"> and </w:t>
      </w:r>
      <w:hyperlink r:id="rId9" w:history="1">
        <w:r>
          <w:rPr>
            <w:rStyle w:val="Hyperlink"/>
            <w:rFonts w:ascii="Arial" w:hAnsi="Arial" w:cs="Arial"/>
            <w:sz w:val="24"/>
            <w:szCs w:val="24"/>
          </w:rPr>
          <w:t>CARE Australia website</w:t>
        </w:r>
      </w:hyperlink>
      <w:r>
        <w:rPr>
          <w:rFonts w:ascii="Arial" w:hAnsi="Arial" w:cs="Arial"/>
          <w:sz w:val="24"/>
          <w:szCs w:val="24"/>
        </w:rPr>
        <w:t xml:space="preserve">. </w:t>
      </w:r>
    </w:p>
    <w:p w14:paraId="184D0D05" w14:textId="77777777" w:rsidR="00925C6E" w:rsidRDefault="00925C6E" w:rsidP="00925C6E">
      <w:pPr>
        <w:spacing w:before="120" w:after="120" w:line="276" w:lineRule="auto"/>
        <w:jc w:val="both"/>
        <w:rPr>
          <w:rFonts w:ascii="Arial" w:hAnsi="Arial" w:cs="Arial"/>
          <w:sz w:val="24"/>
          <w:szCs w:val="24"/>
        </w:rPr>
      </w:pPr>
    </w:p>
    <w:p w14:paraId="4726D323" w14:textId="5A736741" w:rsidR="00925C6E" w:rsidRPr="00925C6E" w:rsidRDefault="00925C6E" w:rsidP="00925C6E">
      <w:pPr>
        <w:spacing w:before="120" w:after="120" w:line="276" w:lineRule="auto"/>
        <w:jc w:val="both"/>
        <w:rPr>
          <w:rFonts w:ascii="Arial" w:hAnsi="Arial" w:cs="Arial"/>
          <w:sz w:val="24"/>
          <w:szCs w:val="24"/>
        </w:rPr>
      </w:pPr>
      <w:r>
        <w:rPr>
          <w:rFonts w:ascii="Arial" w:hAnsi="Arial" w:cs="Arial"/>
          <w:sz w:val="24"/>
          <w:szCs w:val="24"/>
        </w:rPr>
        <w:t xml:space="preserve">The views expressed in this publication do not necessarily reflect those of CARE International, the Australian Department of Foreign Affairs and Trade, or any other participating organisations. </w:t>
      </w:r>
      <w:bookmarkStart w:id="0" w:name="_GoBack"/>
      <w:bookmarkEnd w:id="0"/>
    </w:p>
    <w:sectPr w:rsidR="00925C6E" w:rsidRPr="00925C6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D5882C" w14:textId="77777777" w:rsidR="005E576C" w:rsidRDefault="005E576C" w:rsidP="00336675">
      <w:pPr>
        <w:spacing w:after="0" w:line="240" w:lineRule="auto"/>
      </w:pPr>
      <w:r>
        <w:separator/>
      </w:r>
    </w:p>
  </w:endnote>
  <w:endnote w:type="continuationSeparator" w:id="0">
    <w:p w14:paraId="210BD78C" w14:textId="77777777" w:rsidR="005E576C" w:rsidRDefault="005E576C" w:rsidP="00336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Officina Sans Std Book">
    <w:altName w:val="ITC Officina Sans Std Book"/>
    <w:panose1 w:val="000000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085640"/>
      <w:docPartObj>
        <w:docPartGallery w:val="Page Numbers (Bottom of Page)"/>
        <w:docPartUnique/>
      </w:docPartObj>
    </w:sdtPr>
    <w:sdtEndPr>
      <w:rPr>
        <w:noProof/>
      </w:rPr>
    </w:sdtEndPr>
    <w:sdtContent>
      <w:p w14:paraId="7DF403F8" w14:textId="3F3867B9" w:rsidR="004F0D29" w:rsidRDefault="004F0D29">
        <w:pPr>
          <w:pStyle w:val="Footer"/>
          <w:jc w:val="right"/>
        </w:pPr>
        <w:r>
          <w:fldChar w:fldCharType="begin"/>
        </w:r>
        <w:r>
          <w:instrText xml:space="preserve"> PAGE   \* MERGEFORMAT </w:instrText>
        </w:r>
        <w:r>
          <w:fldChar w:fldCharType="separate"/>
        </w:r>
        <w:r w:rsidR="00925C6E">
          <w:rPr>
            <w:noProof/>
          </w:rPr>
          <w:t>3</w:t>
        </w:r>
        <w:r>
          <w:rPr>
            <w:noProof/>
          </w:rPr>
          <w:fldChar w:fldCharType="end"/>
        </w:r>
      </w:p>
    </w:sdtContent>
  </w:sdt>
  <w:p w14:paraId="29D8C8BA" w14:textId="77777777" w:rsidR="004F0D29" w:rsidRDefault="004F0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3B9AB" w14:textId="77777777" w:rsidR="005E576C" w:rsidRDefault="005E576C" w:rsidP="00336675">
      <w:pPr>
        <w:spacing w:after="0" w:line="240" w:lineRule="auto"/>
      </w:pPr>
      <w:r>
        <w:separator/>
      </w:r>
    </w:p>
  </w:footnote>
  <w:footnote w:type="continuationSeparator" w:id="0">
    <w:p w14:paraId="16C91B03" w14:textId="77777777" w:rsidR="005E576C" w:rsidRDefault="005E576C" w:rsidP="00336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6A77"/>
    <w:multiLevelType w:val="hybridMultilevel"/>
    <w:tmpl w:val="7F7C5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0E01E9"/>
    <w:multiLevelType w:val="hybridMultilevel"/>
    <w:tmpl w:val="D178A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E7759D"/>
    <w:multiLevelType w:val="hybridMultilevel"/>
    <w:tmpl w:val="D47E8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542524"/>
    <w:multiLevelType w:val="hybridMultilevel"/>
    <w:tmpl w:val="2E6C5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40FDF"/>
    <w:multiLevelType w:val="hybridMultilevel"/>
    <w:tmpl w:val="3B48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8C0E1D"/>
    <w:multiLevelType w:val="hybridMultilevel"/>
    <w:tmpl w:val="5F920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642CE"/>
    <w:multiLevelType w:val="hybridMultilevel"/>
    <w:tmpl w:val="23C21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E57C80"/>
    <w:multiLevelType w:val="hybridMultilevel"/>
    <w:tmpl w:val="37C04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4E7DE9"/>
    <w:multiLevelType w:val="hybridMultilevel"/>
    <w:tmpl w:val="299A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A80155"/>
    <w:multiLevelType w:val="hybridMultilevel"/>
    <w:tmpl w:val="8C16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CB7A25"/>
    <w:multiLevelType w:val="hybridMultilevel"/>
    <w:tmpl w:val="53A07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3F4C7B"/>
    <w:multiLevelType w:val="hybridMultilevel"/>
    <w:tmpl w:val="89EA61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0F7274"/>
    <w:multiLevelType w:val="hybridMultilevel"/>
    <w:tmpl w:val="188E7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882B90"/>
    <w:multiLevelType w:val="hybridMultilevel"/>
    <w:tmpl w:val="D4A0B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53EE8"/>
    <w:multiLevelType w:val="hybridMultilevel"/>
    <w:tmpl w:val="F2289A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6C832F4"/>
    <w:multiLevelType w:val="hybridMultilevel"/>
    <w:tmpl w:val="BEC6349A"/>
    <w:lvl w:ilvl="0" w:tplc="319ED5B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F14B7F"/>
    <w:multiLevelType w:val="hybridMultilevel"/>
    <w:tmpl w:val="FB741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AB225FF"/>
    <w:multiLevelType w:val="hybridMultilevel"/>
    <w:tmpl w:val="BB786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531533A"/>
    <w:multiLevelType w:val="hybridMultilevel"/>
    <w:tmpl w:val="6054D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F475EA"/>
    <w:multiLevelType w:val="hybridMultilevel"/>
    <w:tmpl w:val="B93CE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DB02C7"/>
    <w:multiLevelType w:val="hybridMultilevel"/>
    <w:tmpl w:val="8564C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BE6C45"/>
    <w:multiLevelType w:val="hybridMultilevel"/>
    <w:tmpl w:val="9FCC0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1A50B65"/>
    <w:multiLevelType w:val="hybridMultilevel"/>
    <w:tmpl w:val="C388B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012C8D"/>
    <w:multiLevelType w:val="hybridMultilevel"/>
    <w:tmpl w:val="A448E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2A7760"/>
    <w:multiLevelType w:val="hybridMultilevel"/>
    <w:tmpl w:val="BD2A6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2E6E2F"/>
    <w:multiLevelType w:val="hybridMultilevel"/>
    <w:tmpl w:val="86608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0"/>
  </w:num>
  <w:num w:numId="4">
    <w:abstractNumId w:val="0"/>
  </w:num>
  <w:num w:numId="5">
    <w:abstractNumId w:val="23"/>
  </w:num>
  <w:num w:numId="6">
    <w:abstractNumId w:val="6"/>
  </w:num>
  <w:num w:numId="7">
    <w:abstractNumId w:val="5"/>
  </w:num>
  <w:num w:numId="8">
    <w:abstractNumId w:val="15"/>
  </w:num>
  <w:num w:numId="9">
    <w:abstractNumId w:val="2"/>
  </w:num>
  <w:num w:numId="10">
    <w:abstractNumId w:val="4"/>
  </w:num>
  <w:num w:numId="11">
    <w:abstractNumId w:val="16"/>
  </w:num>
  <w:num w:numId="12">
    <w:abstractNumId w:val="9"/>
  </w:num>
  <w:num w:numId="13">
    <w:abstractNumId w:val="12"/>
  </w:num>
  <w:num w:numId="14">
    <w:abstractNumId w:val="24"/>
  </w:num>
  <w:num w:numId="15">
    <w:abstractNumId w:val="20"/>
  </w:num>
  <w:num w:numId="16">
    <w:abstractNumId w:val="22"/>
  </w:num>
  <w:num w:numId="17">
    <w:abstractNumId w:val="8"/>
  </w:num>
  <w:num w:numId="18">
    <w:abstractNumId w:val="14"/>
  </w:num>
  <w:num w:numId="19">
    <w:abstractNumId w:val="17"/>
  </w:num>
  <w:num w:numId="20">
    <w:abstractNumId w:val="19"/>
  </w:num>
  <w:num w:numId="21">
    <w:abstractNumId w:val="3"/>
  </w:num>
  <w:num w:numId="22">
    <w:abstractNumId w:val="18"/>
  </w:num>
  <w:num w:numId="23">
    <w:abstractNumId w:val="25"/>
  </w:num>
  <w:num w:numId="24">
    <w:abstractNumId w:val="13"/>
  </w:num>
  <w:num w:numId="25">
    <w:abstractNumId w:val="1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083"/>
    <w:rsid w:val="00132FC4"/>
    <w:rsid w:val="001469D4"/>
    <w:rsid w:val="001473E5"/>
    <w:rsid w:val="0018232E"/>
    <w:rsid w:val="001F321B"/>
    <w:rsid w:val="00336675"/>
    <w:rsid w:val="00344B33"/>
    <w:rsid w:val="00361DD2"/>
    <w:rsid w:val="004F0D29"/>
    <w:rsid w:val="00590B89"/>
    <w:rsid w:val="005B44D1"/>
    <w:rsid w:val="005E576C"/>
    <w:rsid w:val="0069555C"/>
    <w:rsid w:val="006B7981"/>
    <w:rsid w:val="006D6853"/>
    <w:rsid w:val="007853B4"/>
    <w:rsid w:val="007876BD"/>
    <w:rsid w:val="007B0B0F"/>
    <w:rsid w:val="007E4EF2"/>
    <w:rsid w:val="00830537"/>
    <w:rsid w:val="008B3395"/>
    <w:rsid w:val="008E15EF"/>
    <w:rsid w:val="009032AB"/>
    <w:rsid w:val="00924065"/>
    <w:rsid w:val="00925C6E"/>
    <w:rsid w:val="00942E2D"/>
    <w:rsid w:val="00954E20"/>
    <w:rsid w:val="009D7798"/>
    <w:rsid w:val="009F0E50"/>
    <w:rsid w:val="00A67E22"/>
    <w:rsid w:val="00AD366F"/>
    <w:rsid w:val="00AF5804"/>
    <w:rsid w:val="00B245F8"/>
    <w:rsid w:val="00C57131"/>
    <w:rsid w:val="00C70293"/>
    <w:rsid w:val="00CA66ED"/>
    <w:rsid w:val="00CB7B75"/>
    <w:rsid w:val="00D07888"/>
    <w:rsid w:val="00E92083"/>
    <w:rsid w:val="00EF7255"/>
    <w:rsid w:val="00F05D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FCBAF"/>
  <w15:chartTrackingRefBased/>
  <w15:docId w15:val="{35D9503D-FA74-4B92-BA83-AFE13EA27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2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3">
    <w:name w:val="Pa13"/>
    <w:basedOn w:val="Normal"/>
    <w:next w:val="Normal"/>
    <w:uiPriority w:val="99"/>
    <w:rsid w:val="00E92083"/>
    <w:pPr>
      <w:autoSpaceDE w:val="0"/>
      <w:autoSpaceDN w:val="0"/>
      <w:adjustRightInd w:val="0"/>
      <w:spacing w:after="0" w:line="201" w:lineRule="atLeast"/>
    </w:pPr>
    <w:rPr>
      <w:rFonts w:ascii="ITC Officina Sans Std Book" w:hAnsi="ITC Officina Sans Std Book"/>
      <w:sz w:val="24"/>
      <w:szCs w:val="24"/>
    </w:rPr>
  </w:style>
  <w:style w:type="character" w:customStyle="1" w:styleId="A9">
    <w:name w:val="A9"/>
    <w:uiPriority w:val="99"/>
    <w:rsid w:val="00E92083"/>
    <w:rPr>
      <w:rFonts w:cs="ITC Officina Sans Std Book"/>
      <w:color w:val="000000"/>
      <w:sz w:val="16"/>
      <w:szCs w:val="16"/>
    </w:rPr>
  </w:style>
  <w:style w:type="paragraph" w:styleId="ListParagraph">
    <w:name w:val="List Paragraph"/>
    <w:basedOn w:val="Normal"/>
    <w:uiPriority w:val="34"/>
    <w:qFormat/>
    <w:rsid w:val="00E92083"/>
    <w:pPr>
      <w:ind w:left="720"/>
      <w:contextualSpacing/>
    </w:pPr>
  </w:style>
  <w:style w:type="paragraph" w:styleId="FootnoteText">
    <w:name w:val="footnote text"/>
    <w:aliases w:val="ft,Footnote Text Char Char,Footnote Text Char1,Char"/>
    <w:basedOn w:val="Normal"/>
    <w:link w:val="FootnoteTextChar"/>
    <w:uiPriority w:val="99"/>
    <w:unhideWhenUsed/>
    <w:rsid w:val="00336675"/>
    <w:pPr>
      <w:spacing w:after="0" w:line="240" w:lineRule="auto"/>
    </w:pPr>
    <w:rPr>
      <w:sz w:val="20"/>
      <w:szCs w:val="20"/>
    </w:rPr>
  </w:style>
  <w:style w:type="character" w:customStyle="1" w:styleId="FootnoteTextChar">
    <w:name w:val="Footnote Text Char"/>
    <w:aliases w:val="ft Char,Footnote Text Char Char Char,Footnote Text Char1 Char,Char Char"/>
    <w:basedOn w:val="DefaultParagraphFont"/>
    <w:link w:val="FootnoteText"/>
    <w:uiPriority w:val="99"/>
    <w:rsid w:val="00336675"/>
    <w:rPr>
      <w:sz w:val="20"/>
      <w:szCs w:val="20"/>
    </w:rPr>
  </w:style>
  <w:style w:type="character" w:styleId="FootnoteReference">
    <w:name w:val="footnote reference"/>
    <w:aliases w:val="4_G,Odwołanie przypisu,Footnote symbol,Footnote Reference Number,Appel note de bas de p,Appel note de bas de p + (Asian) Batang,Black,(NECG) Footnote Reference,Nota,Footnotes refss,ftref,BVI fnr Char Char Char Char Char Char,16 Point"/>
    <w:basedOn w:val="DefaultParagraphFont"/>
    <w:uiPriority w:val="99"/>
    <w:unhideWhenUsed/>
    <w:rsid w:val="00336675"/>
    <w:rPr>
      <w:vertAlign w:val="superscript"/>
    </w:rPr>
  </w:style>
  <w:style w:type="paragraph" w:styleId="BalloonText">
    <w:name w:val="Balloon Text"/>
    <w:basedOn w:val="Normal"/>
    <w:link w:val="BalloonTextChar"/>
    <w:uiPriority w:val="99"/>
    <w:semiHidden/>
    <w:unhideWhenUsed/>
    <w:rsid w:val="006D685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D685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6D6853"/>
    <w:rPr>
      <w:sz w:val="18"/>
      <w:szCs w:val="18"/>
    </w:rPr>
  </w:style>
  <w:style w:type="paragraph" w:styleId="CommentText">
    <w:name w:val="annotation text"/>
    <w:basedOn w:val="Normal"/>
    <w:link w:val="CommentTextChar"/>
    <w:uiPriority w:val="99"/>
    <w:semiHidden/>
    <w:unhideWhenUsed/>
    <w:rsid w:val="006D6853"/>
    <w:pPr>
      <w:spacing w:line="240" w:lineRule="auto"/>
    </w:pPr>
    <w:rPr>
      <w:sz w:val="24"/>
      <w:szCs w:val="24"/>
    </w:rPr>
  </w:style>
  <w:style w:type="character" w:customStyle="1" w:styleId="CommentTextChar">
    <w:name w:val="Comment Text Char"/>
    <w:basedOn w:val="DefaultParagraphFont"/>
    <w:link w:val="CommentText"/>
    <w:uiPriority w:val="99"/>
    <w:semiHidden/>
    <w:rsid w:val="006D6853"/>
    <w:rPr>
      <w:sz w:val="24"/>
      <w:szCs w:val="24"/>
    </w:rPr>
  </w:style>
  <w:style w:type="paragraph" w:styleId="CommentSubject">
    <w:name w:val="annotation subject"/>
    <w:basedOn w:val="CommentText"/>
    <w:next w:val="CommentText"/>
    <w:link w:val="CommentSubjectChar"/>
    <w:uiPriority w:val="99"/>
    <w:semiHidden/>
    <w:unhideWhenUsed/>
    <w:rsid w:val="006D6853"/>
    <w:rPr>
      <w:b/>
      <w:bCs/>
      <w:sz w:val="20"/>
      <w:szCs w:val="20"/>
    </w:rPr>
  </w:style>
  <w:style w:type="character" w:customStyle="1" w:styleId="CommentSubjectChar">
    <w:name w:val="Comment Subject Char"/>
    <w:basedOn w:val="CommentTextChar"/>
    <w:link w:val="CommentSubject"/>
    <w:uiPriority w:val="99"/>
    <w:semiHidden/>
    <w:rsid w:val="006D6853"/>
    <w:rPr>
      <w:b/>
      <w:bCs/>
      <w:sz w:val="20"/>
      <w:szCs w:val="20"/>
    </w:rPr>
  </w:style>
  <w:style w:type="paragraph" w:styleId="Header">
    <w:name w:val="header"/>
    <w:basedOn w:val="Normal"/>
    <w:link w:val="HeaderChar"/>
    <w:uiPriority w:val="99"/>
    <w:unhideWhenUsed/>
    <w:rsid w:val="004F0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D29"/>
  </w:style>
  <w:style w:type="paragraph" w:styleId="Footer">
    <w:name w:val="footer"/>
    <w:basedOn w:val="Normal"/>
    <w:link w:val="FooterChar"/>
    <w:uiPriority w:val="99"/>
    <w:unhideWhenUsed/>
    <w:rsid w:val="004F0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D29"/>
  </w:style>
  <w:style w:type="character" w:styleId="Hyperlink">
    <w:name w:val="Hyperlink"/>
    <w:basedOn w:val="DefaultParagraphFont"/>
    <w:uiPriority w:val="99"/>
    <w:unhideWhenUsed/>
    <w:rsid w:val="00925C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cambodi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e.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E9F23-E8E5-405A-B514-22FBC311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CARE Australia</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Lee</dc:creator>
  <cp:keywords/>
  <dc:description/>
  <cp:lastModifiedBy>Marit, Virma</cp:lastModifiedBy>
  <cp:revision>6</cp:revision>
  <dcterms:created xsi:type="dcterms:W3CDTF">2017-03-20T01:58:00Z</dcterms:created>
  <dcterms:modified xsi:type="dcterms:W3CDTF">2017-04-19T01:13:00Z</dcterms:modified>
</cp:coreProperties>
</file>